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Computer Answer Paper-1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Class-6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Hard disc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RAM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joystick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Seymour Papert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ab/>
        <w:t xml:space="preserve">  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Input device for a computer allow you to enter  information instruction and data from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user, example of some input devices are keyboard mouse joystick touch screen etc.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Central Processing Unit is the brain of a computer system. All the major Calculation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and comparison are performed inside the CPU.The CPU has manly three-part ALU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CU  and MU.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Assembly language uses mnemonic code or symbol in place of the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0's and 1’s .Assembly language program have to be converted into machine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language because computer can only understand the machine language and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assembly known as translator is required to convert assembly language into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machine language.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 compiler convert high level language program into machine language it converts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whole program at the same time and report of the errors of the program along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with the line numbers.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Basic stand for beginner all purpose symbolic instruction code. 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CPU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Scanner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binary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java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PASCAL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input device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output device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Mnemonic codes and symbolic addresses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Dennis Ritchie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Seymour Papert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