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11 to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Banyan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retailer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Mutton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6 months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strong and curved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People living in forests are called tribes or Adivasis.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Pesticides used to spray in the field to prevent them from getting spoilt from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different pests.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Christians eat cakes on Christmas.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Always move the  toothbrush from the gums towards the age of the teeth This will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help to move the dental plaque away. move the brush back and forth gently in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short strokes.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Swimming birds such as ducks  have webbed feet that help them to swim.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sharbat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vegetable and fruit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modak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32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teeth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nature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dairy farmers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Tamil Nadu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Taste buds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swimming birds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